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5B791" w14:textId="77777777" w:rsidR="000960E8" w:rsidRPr="000960E8" w:rsidRDefault="000960E8" w:rsidP="000960E8">
      <w:pPr>
        <w:rPr>
          <w:rFonts w:ascii="Times New Roman" w:eastAsia="Times New Roman" w:hAnsi="Times New Roman" w:cs="Times New Roman"/>
          <w:lang w:val="en-CA"/>
        </w:rPr>
      </w:pPr>
      <w:bookmarkStart w:id="0" w:name="_GoBack"/>
      <w:bookmarkEnd w:id="0"/>
      <w:r w:rsidRPr="000960E8">
        <w:rPr>
          <w:rFonts w:ascii="Times New Roman" w:eastAsia="Times New Roman" w:hAnsi="Times New Roman" w:cs="Times New Roman"/>
          <w:lang w:val="en-CA"/>
        </w:rPr>
        <w:t> </w:t>
      </w:r>
    </w:p>
    <w:p w14:paraId="4F085091" w14:textId="1F4D6AE9" w:rsidR="000960E8" w:rsidRDefault="000960E8" w:rsidP="000960E8">
      <w:pPr>
        <w:rPr>
          <w:rFonts w:ascii="Times New Roman" w:eastAsia="Times New Roman" w:hAnsi="Times New Roman" w:cs="Times New Roman"/>
          <w:lang w:val="en-CA"/>
        </w:rPr>
      </w:pPr>
      <w:r w:rsidRPr="000960E8">
        <w:rPr>
          <w:rFonts w:ascii="Times New Roman" w:eastAsia="Times New Roman" w:hAnsi="Times New Roman" w:cs="Times New Roman"/>
          <w:lang w:val="en-CA"/>
        </w:rPr>
        <w:t> </w:t>
      </w:r>
    </w:p>
    <w:p w14:paraId="780B32A0" w14:textId="60A216FD" w:rsidR="000960E8" w:rsidRDefault="000960E8" w:rsidP="000960E8">
      <w:pPr>
        <w:rPr>
          <w:rFonts w:ascii="Times New Roman" w:eastAsia="Times New Roman" w:hAnsi="Times New Roman" w:cs="Times New Roman"/>
          <w:lang w:val="en-CA"/>
        </w:rPr>
      </w:pPr>
    </w:p>
    <w:p w14:paraId="4558D348" w14:textId="6948F920" w:rsidR="000960E8" w:rsidRPr="000960E8" w:rsidRDefault="006A6E27" w:rsidP="006A6E27">
      <w:pPr>
        <w:jc w:val="center"/>
        <w:rPr>
          <w:rFonts w:ascii="Arial" w:eastAsia="Times New Roman" w:hAnsi="Arial" w:cs="Arial"/>
          <w:sz w:val="32"/>
          <w:szCs w:val="32"/>
          <w:lang w:val="en-CA"/>
        </w:rPr>
      </w:pPr>
      <w:r w:rsidRPr="006A6E27">
        <w:rPr>
          <w:rFonts w:ascii="Arial" w:eastAsia="Times New Roman" w:hAnsi="Arial" w:cs="Arial"/>
          <w:sz w:val="32"/>
          <w:szCs w:val="32"/>
          <w:lang w:val="en-CA"/>
        </w:rPr>
        <w:t>Self-Regulation Handout</w:t>
      </w:r>
    </w:p>
    <w:p w14:paraId="03DA3FA3" w14:textId="77777777" w:rsidR="000960E8" w:rsidRPr="000960E8" w:rsidRDefault="000960E8" w:rsidP="000960E8">
      <w:pPr>
        <w:rPr>
          <w:rFonts w:ascii="Times New Roman" w:eastAsia="Times New Roman" w:hAnsi="Times New Roman" w:cs="Times New Roman"/>
          <w:lang w:val="en-CA"/>
        </w:rPr>
      </w:pPr>
      <w:r w:rsidRPr="000960E8">
        <w:rPr>
          <w:rFonts w:ascii="Times New Roman" w:eastAsia="Times New Roman" w:hAnsi="Times New Roman" w:cs="Times New Roman"/>
          <w:lang w:val="en-CA"/>
        </w:rPr>
        <w:t> </w:t>
      </w:r>
    </w:p>
    <w:p w14:paraId="0070CB0A" w14:textId="3C19F562" w:rsidR="00B66233" w:rsidRDefault="000960E8" w:rsidP="006A6E27">
      <w:pPr>
        <w:jc w:val="center"/>
      </w:pPr>
      <w:r>
        <w:rPr>
          <w:noProof/>
        </w:rPr>
        <w:drawing>
          <wp:inline distT="0" distB="0" distL="0" distR="0" wp14:anchorId="6C892EF9" wp14:editId="0CFC3C22">
            <wp:extent cx="7217923" cy="3968316"/>
            <wp:effectExtent l="0" t="0" r="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7284088" cy="4004692"/>
                    </a:xfrm>
                    <a:prstGeom prst="rect">
                      <a:avLst/>
                    </a:prstGeom>
                  </pic:spPr>
                </pic:pic>
              </a:graphicData>
            </a:graphic>
          </wp:inline>
        </w:drawing>
      </w:r>
    </w:p>
    <w:p w14:paraId="4AE785B8" w14:textId="2F01CADF" w:rsidR="000960E8" w:rsidRDefault="000960E8"/>
    <w:p w14:paraId="72D09D7B" w14:textId="7BAE5628" w:rsidR="000960E8" w:rsidRDefault="000960E8"/>
    <w:p w14:paraId="6A2C3709" w14:textId="2F8A2149" w:rsidR="000960E8" w:rsidRDefault="000960E8"/>
    <w:p w14:paraId="612BAD22" w14:textId="639DD35B" w:rsidR="006A6E27" w:rsidRDefault="006A6E27"/>
    <w:p w14:paraId="38C23A60" w14:textId="77777777" w:rsidR="006A6E27" w:rsidRDefault="006A6E27"/>
    <w:p w14:paraId="1AC678AB" w14:textId="4B0FE5C1" w:rsidR="000960E8" w:rsidRDefault="000960E8"/>
    <w:p w14:paraId="3BEDE858" w14:textId="40B8FC05" w:rsidR="000960E8" w:rsidRDefault="000960E8">
      <w:r>
        <w:t>Assessing the Situation…</w:t>
      </w:r>
    </w:p>
    <w:p w14:paraId="77F30AF2" w14:textId="77777777" w:rsidR="000960E8" w:rsidRDefault="000960E8"/>
    <w:tbl>
      <w:tblPr>
        <w:tblStyle w:val="TableGrid"/>
        <w:tblW w:w="0" w:type="auto"/>
        <w:tblLook w:val="04A0" w:firstRow="1" w:lastRow="0" w:firstColumn="1" w:lastColumn="0" w:noHBand="0" w:noVBand="1"/>
      </w:tblPr>
      <w:tblGrid>
        <w:gridCol w:w="2294"/>
        <w:gridCol w:w="5214"/>
        <w:gridCol w:w="5442"/>
      </w:tblGrid>
      <w:tr w:rsidR="000960E8" w14:paraId="2149F6CF" w14:textId="164C5951" w:rsidTr="000960E8">
        <w:tc>
          <w:tcPr>
            <w:tcW w:w="2294" w:type="dxa"/>
            <w:shd w:val="clear" w:color="auto" w:fill="B4C6E7" w:themeFill="accent1" w:themeFillTint="66"/>
            <w:vAlign w:val="center"/>
          </w:tcPr>
          <w:p w14:paraId="4F8342A4" w14:textId="77777777" w:rsidR="006A6E27" w:rsidRDefault="000960E8" w:rsidP="000960E8">
            <w:pPr>
              <w:jc w:val="center"/>
              <w:rPr>
                <w:sz w:val="28"/>
                <w:szCs w:val="28"/>
              </w:rPr>
            </w:pPr>
            <w:r w:rsidRPr="006A6E27">
              <w:rPr>
                <w:sz w:val="28"/>
                <w:szCs w:val="28"/>
              </w:rPr>
              <w:t xml:space="preserve">Provocation </w:t>
            </w:r>
          </w:p>
          <w:p w14:paraId="4E9829B9" w14:textId="2C4433C8" w:rsidR="000960E8" w:rsidRPr="006A6E27" w:rsidRDefault="000960E8" w:rsidP="000960E8">
            <w:pPr>
              <w:jc w:val="center"/>
              <w:rPr>
                <w:sz w:val="28"/>
                <w:szCs w:val="28"/>
              </w:rPr>
            </w:pPr>
            <w:r w:rsidRPr="006A6E27">
              <w:rPr>
                <w:sz w:val="28"/>
                <w:szCs w:val="28"/>
              </w:rPr>
              <w:t>of Stress</w:t>
            </w:r>
          </w:p>
        </w:tc>
        <w:tc>
          <w:tcPr>
            <w:tcW w:w="5214" w:type="dxa"/>
            <w:shd w:val="clear" w:color="auto" w:fill="C5E0B3" w:themeFill="accent6" w:themeFillTint="66"/>
            <w:vAlign w:val="center"/>
          </w:tcPr>
          <w:p w14:paraId="3EF6D401" w14:textId="04345682" w:rsidR="000960E8" w:rsidRPr="006A6E27" w:rsidRDefault="000960E8" w:rsidP="000960E8">
            <w:pPr>
              <w:jc w:val="center"/>
            </w:pPr>
            <w:r w:rsidRPr="006A6E27">
              <w:t xml:space="preserve">Locate your child’s </w:t>
            </w:r>
            <w:proofErr w:type="spellStart"/>
            <w:r w:rsidRPr="006A6E27">
              <w:t>behaviour</w:t>
            </w:r>
            <w:proofErr w:type="spellEnd"/>
            <w:r w:rsidRPr="006A6E27">
              <w:t>(s</w:t>
            </w:r>
            <w:r w:rsidR="00DC181F" w:rsidRPr="006A6E27">
              <w:t>)</w:t>
            </w:r>
            <w:r w:rsidRPr="006A6E27">
              <w:t xml:space="preserve"> to </w:t>
            </w:r>
            <w:r w:rsidR="00DC181F" w:rsidRPr="006A6E27">
              <w:t>assist in</w:t>
            </w:r>
            <w:r w:rsidRPr="006A6E27">
              <w:t xml:space="preserve"> identify</w:t>
            </w:r>
            <w:r w:rsidR="00DC181F" w:rsidRPr="006A6E27">
              <w:t>ing</w:t>
            </w:r>
            <w:r w:rsidRPr="006A6E27">
              <w:t xml:space="preserve"> what they might need in the way of support.</w:t>
            </w:r>
          </w:p>
          <w:p w14:paraId="66E75E77" w14:textId="77777777" w:rsidR="006A6E27" w:rsidRPr="006A6E27" w:rsidRDefault="006A6E27" w:rsidP="000960E8">
            <w:pPr>
              <w:jc w:val="center"/>
              <w:rPr>
                <w:sz w:val="20"/>
                <w:szCs w:val="20"/>
              </w:rPr>
            </w:pPr>
          </w:p>
          <w:p w14:paraId="3E857799" w14:textId="488DD515" w:rsidR="000960E8" w:rsidRPr="006A6E27" w:rsidRDefault="000960E8" w:rsidP="000960E8">
            <w:pPr>
              <w:jc w:val="center"/>
              <w:rPr>
                <w:sz w:val="18"/>
                <w:szCs w:val="18"/>
              </w:rPr>
            </w:pPr>
            <w:r w:rsidRPr="006A6E27">
              <w:rPr>
                <w:sz w:val="18"/>
                <w:szCs w:val="18"/>
              </w:rPr>
              <w:t>*this helps to reduce the feeling of being manipulated or that your child is just “seeking attention”</w:t>
            </w:r>
            <w:r w:rsidR="00DC181F" w:rsidRPr="006A6E27">
              <w:rPr>
                <w:sz w:val="18"/>
                <w:szCs w:val="18"/>
              </w:rPr>
              <w:t xml:space="preserve"> and allows you to choose a suitable strategy</w:t>
            </w:r>
            <w:r w:rsidR="006A6E27">
              <w:rPr>
                <w:sz w:val="18"/>
                <w:szCs w:val="18"/>
              </w:rPr>
              <w:t xml:space="preserve"> or strategies and enlist appropriate support.</w:t>
            </w:r>
          </w:p>
        </w:tc>
        <w:tc>
          <w:tcPr>
            <w:tcW w:w="5442" w:type="dxa"/>
            <w:shd w:val="clear" w:color="auto" w:fill="B4C6E7" w:themeFill="accent1" w:themeFillTint="66"/>
            <w:vAlign w:val="center"/>
          </w:tcPr>
          <w:p w14:paraId="665B6D39" w14:textId="77777777" w:rsidR="000960E8" w:rsidRPr="006A6E27" w:rsidRDefault="000960E8" w:rsidP="000960E8">
            <w:pPr>
              <w:jc w:val="center"/>
              <w:rPr>
                <w:sz w:val="28"/>
                <w:szCs w:val="28"/>
              </w:rPr>
            </w:pPr>
            <w:r w:rsidRPr="006A6E27">
              <w:rPr>
                <w:sz w:val="28"/>
                <w:szCs w:val="28"/>
              </w:rPr>
              <w:t>What does your child need?</w:t>
            </w:r>
          </w:p>
          <w:p w14:paraId="50202899" w14:textId="77777777" w:rsidR="006A6E27" w:rsidRDefault="006A6E27" w:rsidP="000960E8">
            <w:pPr>
              <w:jc w:val="center"/>
              <w:rPr>
                <w:sz w:val="20"/>
                <w:szCs w:val="20"/>
              </w:rPr>
            </w:pPr>
          </w:p>
          <w:p w14:paraId="0A0B3C17" w14:textId="0652A9AE" w:rsidR="006A6E27" w:rsidRPr="006A6E27" w:rsidRDefault="006A6E27" w:rsidP="000960E8">
            <w:pPr>
              <w:jc w:val="center"/>
              <w:rPr>
                <w:sz w:val="20"/>
                <w:szCs w:val="20"/>
              </w:rPr>
            </w:pPr>
            <w:r>
              <w:rPr>
                <w:sz w:val="20"/>
                <w:szCs w:val="20"/>
              </w:rPr>
              <w:t>*look at all the strategies and try to match accordingly</w:t>
            </w:r>
          </w:p>
        </w:tc>
      </w:tr>
      <w:tr w:rsidR="000960E8" w14:paraId="5E531847" w14:textId="6C0CF2A7" w:rsidTr="000960E8">
        <w:tc>
          <w:tcPr>
            <w:tcW w:w="2294" w:type="dxa"/>
            <w:shd w:val="clear" w:color="auto" w:fill="FFF2CC" w:themeFill="accent4" w:themeFillTint="33"/>
          </w:tcPr>
          <w:p w14:paraId="2D8E2EF4" w14:textId="0FC7F1B8" w:rsidR="000960E8" w:rsidRPr="006A6E27" w:rsidRDefault="000960E8">
            <w:pPr>
              <w:rPr>
                <w:sz w:val="20"/>
                <w:szCs w:val="20"/>
              </w:rPr>
            </w:pPr>
            <w:r w:rsidRPr="006A6E27">
              <w:rPr>
                <w:sz w:val="20"/>
                <w:szCs w:val="20"/>
              </w:rPr>
              <w:t>Physical and/or Emotional Safety</w:t>
            </w:r>
          </w:p>
        </w:tc>
        <w:tc>
          <w:tcPr>
            <w:tcW w:w="5214" w:type="dxa"/>
          </w:tcPr>
          <w:p w14:paraId="42AC129E" w14:textId="77777777" w:rsidR="000960E8" w:rsidRPr="006A6E27" w:rsidRDefault="000960E8">
            <w:pPr>
              <w:rPr>
                <w:sz w:val="20"/>
                <w:szCs w:val="20"/>
              </w:rPr>
            </w:pPr>
          </w:p>
        </w:tc>
        <w:tc>
          <w:tcPr>
            <w:tcW w:w="5442" w:type="dxa"/>
            <w:shd w:val="clear" w:color="auto" w:fill="FFF2CC" w:themeFill="accent4" w:themeFillTint="33"/>
          </w:tcPr>
          <w:p w14:paraId="6AC69186" w14:textId="77777777" w:rsidR="000960E8" w:rsidRPr="006A6E27" w:rsidRDefault="000960E8">
            <w:pPr>
              <w:rPr>
                <w:sz w:val="20"/>
                <w:szCs w:val="20"/>
              </w:rPr>
            </w:pPr>
            <w:r w:rsidRPr="006A6E27">
              <w:rPr>
                <w:sz w:val="20"/>
                <w:szCs w:val="20"/>
              </w:rPr>
              <w:t>An increased sense of physical safety</w:t>
            </w:r>
          </w:p>
          <w:p w14:paraId="47C5E8A1" w14:textId="0BC820C5" w:rsidR="000960E8" w:rsidRPr="006A6E27" w:rsidRDefault="000960E8">
            <w:pPr>
              <w:rPr>
                <w:sz w:val="20"/>
                <w:szCs w:val="20"/>
              </w:rPr>
            </w:pPr>
            <w:r w:rsidRPr="006A6E27">
              <w:rPr>
                <w:sz w:val="20"/>
                <w:szCs w:val="20"/>
              </w:rPr>
              <w:t>A “bridge” to connect them to the space they need to occupy (preferably a human connection to help them orient themselves emotionally, to reduce the perception of threat)</w:t>
            </w:r>
          </w:p>
        </w:tc>
      </w:tr>
      <w:tr w:rsidR="000960E8" w14:paraId="5A90ACDA" w14:textId="0E7A3AFD" w:rsidTr="000960E8">
        <w:tc>
          <w:tcPr>
            <w:tcW w:w="2294" w:type="dxa"/>
            <w:shd w:val="clear" w:color="auto" w:fill="FBE4D5" w:themeFill="accent2" w:themeFillTint="33"/>
          </w:tcPr>
          <w:p w14:paraId="34D756AD" w14:textId="411FDA32" w:rsidR="000960E8" w:rsidRPr="006A6E27" w:rsidRDefault="000960E8">
            <w:pPr>
              <w:rPr>
                <w:sz w:val="20"/>
                <w:szCs w:val="20"/>
              </w:rPr>
            </w:pPr>
            <w:r w:rsidRPr="006A6E27">
              <w:rPr>
                <w:sz w:val="20"/>
                <w:szCs w:val="20"/>
              </w:rPr>
              <w:t>The Unknown</w:t>
            </w:r>
          </w:p>
        </w:tc>
        <w:tc>
          <w:tcPr>
            <w:tcW w:w="5214" w:type="dxa"/>
          </w:tcPr>
          <w:p w14:paraId="4425007E" w14:textId="77777777" w:rsidR="000960E8" w:rsidRPr="006A6E27" w:rsidRDefault="000960E8">
            <w:pPr>
              <w:rPr>
                <w:sz w:val="20"/>
                <w:szCs w:val="20"/>
              </w:rPr>
            </w:pPr>
          </w:p>
        </w:tc>
        <w:tc>
          <w:tcPr>
            <w:tcW w:w="5442" w:type="dxa"/>
            <w:shd w:val="clear" w:color="auto" w:fill="FBE4D5" w:themeFill="accent2" w:themeFillTint="33"/>
          </w:tcPr>
          <w:p w14:paraId="0235AEDE" w14:textId="7B3F6254" w:rsidR="000960E8" w:rsidRPr="006A6E27" w:rsidRDefault="000960E8">
            <w:pPr>
              <w:rPr>
                <w:sz w:val="20"/>
                <w:szCs w:val="20"/>
              </w:rPr>
            </w:pPr>
            <w:r w:rsidRPr="006A6E27">
              <w:rPr>
                <w:sz w:val="20"/>
                <w:szCs w:val="20"/>
              </w:rPr>
              <w:t>Increased preparation, information front-loading, to help your child anticipate the new situation with a degree of confidence and identifiable skills</w:t>
            </w:r>
          </w:p>
        </w:tc>
      </w:tr>
      <w:tr w:rsidR="000960E8" w14:paraId="2240D5B9" w14:textId="60821B8A" w:rsidTr="000960E8">
        <w:tc>
          <w:tcPr>
            <w:tcW w:w="2294" w:type="dxa"/>
            <w:shd w:val="clear" w:color="auto" w:fill="FFF2CC" w:themeFill="accent4" w:themeFillTint="33"/>
          </w:tcPr>
          <w:p w14:paraId="7B44012E" w14:textId="189CBE8E" w:rsidR="000960E8" w:rsidRPr="006A6E27" w:rsidRDefault="000960E8">
            <w:pPr>
              <w:rPr>
                <w:sz w:val="20"/>
                <w:szCs w:val="20"/>
              </w:rPr>
            </w:pPr>
            <w:r w:rsidRPr="006A6E27">
              <w:rPr>
                <w:sz w:val="20"/>
                <w:szCs w:val="20"/>
              </w:rPr>
              <w:t>Incongruence in the Environment</w:t>
            </w:r>
          </w:p>
        </w:tc>
        <w:tc>
          <w:tcPr>
            <w:tcW w:w="5214" w:type="dxa"/>
          </w:tcPr>
          <w:p w14:paraId="7AEE47AE" w14:textId="77777777" w:rsidR="000960E8" w:rsidRPr="006A6E27" w:rsidRDefault="000960E8">
            <w:pPr>
              <w:rPr>
                <w:sz w:val="20"/>
                <w:szCs w:val="20"/>
              </w:rPr>
            </w:pPr>
          </w:p>
        </w:tc>
        <w:tc>
          <w:tcPr>
            <w:tcW w:w="5442" w:type="dxa"/>
            <w:shd w:val="clear" w:color="auto" w:fill="FFF2CC" w:themeFill="accent4" w:themeFillTint="33"/>
          </w:tcPr>
          <w:p w14:paraId="7A67735E" w14:textId="76620B15" w:rsidR="000960E8" w:rsidRPr="006A6E27" w:rsidRDefault="000960E8">
            <w:pPr>
              <w:rPr>
                <w:sz w:val="20"/>
                <w:szCs w:val="20"/>
              </w:rPr>
            </w:pPr>
            <w:r w:rsidRPr="006A6E27">
              <w:rPr>
                <w:sz w:val="20"/>
                <w:szCs w:val="20"/>
              </w:rPr>
              <w:t>The feeling of incongruence often produces confusion or that “red flag” feeling. Help your child put words to that feeling and where it is located in their body. They can realize that this feeling is actually helpful and a good skill to have to recognize authenticity in people and situations to help keep them safe.</w:t>
            </w:r>
          </w:p>
        </w:tc>
      </w:tr>
      <w:tr w:rsidR="000960E8" w14:paraId="6844760A" w14:textId="6DC1E61D" w:rsidTr="000960E8">
        <w:tc>
          <w:tcPr>
            <w:tcW w:w="2294" w:type="dxa"/>
            <w:shd w:val="clear" w:color="auto" w:fill="FBE4D5" w:themeFill="accent2" w:themeFillTint="33"/>
          </w:tcPr>
          <w:p w14:paraId="2C53E942" w14:textId="4F103973" w:rsidR="000960E8" w:rsidRPr="006A6E27" w:rsidRDefault="000960E8">
            <w:pPr>
              <w:rPr>
                <w:sz w:val="20"/>
                <w:szCs w:val="20"/>
              </w:rPr>
            </w:pPr>
            <w:r w:rsidRPr="006A6E27">
              <w:rPr>
                <w:sz w:val="20"/>
                <w:szCs w:val="20"/>
              </w:rPr>
              <w:t>“</w:t>
            </w:r>
            <w:proofErr w:type="spellStart"/>
            <w:r w:rsidRPr="006A6E27">
              <w:rPr>
                <w:sz w:val="20"/>
                <w:szCs w:val="20"/>
              </w:rPr>
              <w:t>Shoulds</w:t>
            </w:r>
            <w:proofErr w:type="spellEnd"/>
            <w:r w:rsidRPr="006A6E27">
              <w:rPr>
                <w:sz w:val="20"/>
                <w:szCs w:val="20"/>
              </w:rPr>
              <w:t>” &amp; Unmet Expectations</w:t>
            </w:r>
          </w:p>
        </w:tc>
        <w:tc>
          <w:tcPr>
            <w:tcW w:w="5214" w:type="dxa"/>
          </w:tcPr>
          <w:p w14:paraId="2A2854A8" w14:textId="77777777" w:rsidR="000960E8" w:rsidRPr="006A6E27" w:rsidRDefault="000960E8">
            <w:pPr>
              <w:rPr>
                <w:sz w:val="20"/>
                <w:szCs w:val="20"/>
              </w:rPr>
            </w:pPr>
          </w:p>
        </w:tc>
        <w:tc>
          <w:tcPr>
            <w:tcW w:w="5442" w:type="dxa"/>
            <w:shd w:val="clear" w:color="auto" w:fill="FBE4D5" w:themeFill="accent2" w:themeFillTint="33"/>
          </w:tcPr>
          <w:p w14:paraId="42A5E83C" w14:textId="69C5FED6" w:rsidR="000960E8" w:rsidRPr="006A6E27" w:rsidRDefault="000960E8">
            <w:pPr>
              <w:rPr>
                <w:sz w:val="20"/>
                <w:szCs w:val="20"/>
              </w:rPr>
            </w:pPr>
            <w:r w:rsidRPr="006A6E27">
              <w:rPr>
                <w:sz w:val="20"/>
                <w:szCs w:val="20"/>
              </w:rPr>
              <w:t>A</w:t>
            </w:r>
            <w:r w:rsidR="006A6E27">
              <w:rPr>
                <w:sz w:val="20"/>
                <w:szCs w:val="20"/>
              </w:rPr>
              <w:t xml:space="preserve">n increased </w:t>
            </w:r>
            <w:r w:rsidRPr="006A6E27">
              <w:rPr>
                <w:sz w:val="20"/>
                <w:szCs w:val="20"/>
              </w:rPr>
              <w:t xml:space="preserve">growth mindset to help bridge the difference between where or who they are and what they hope to be. “I’m bad at math, and I just want to get away from it or avoid it” </w:t>
            </w:r>
            <w:r w:rsidRPr="006A6E27">
              <w:rPr>
                <w:sz w:val="20"/>
                <w:szCs w:val="20"/>
              </w:rPr>
              <w:sym w:font="Wingdings" w:char="F0E0"/>
            </w:r>
            <w:r w:rsidRPr="006A6E27">
              <w:rPr>
                <w:sz w:val="20"/>
                <w:szCs w:val="20"/>
              </w:rPr>
              <w:t xml:space="preserve"> Right now, I don’t know how to do this particular thing in math, but with practice and asking questions, I will keep learning more until I can do it”.</w:t>
            </w:r>
          </w:p>
        </w:tc>
      </w:tr>
    </w:tbl>
    <w:p w14:paraId="6D1ACBC7" w14:textId="0009218A" w:rsidR="000960E8" w:rsidRDefault="000960E8"/>
    <w:p w14:paraId="79584B46" w14:textId="4B4CB9B6" w:rsidR="00DC181F" w:rsidRDefault="00DC181F"/>
    <w:p w14:paraId="24DD3BF2" w14:textId="77777777" w:rsidR="00DC181F" w:rsidRDefault="00DC181F">
      <w:r>
        <w:t xml:space="preserve">By becoming more curious, you can also map the time of day certain </w:t>
      </w:r>
      <w:proofErr w:type="spellStart"/>
      <w:r>
        <w:t>behaviours</w:t>
      </w:r>
      <w:proofErr w:type="spellEnd"/>
      <w:r>
        <w:t xml:space="preserve"> occur, or particular environments where the </w:t>
      </w:r>
      <w:proofErr w:type="spellStart"/>
      <w:r>
        <w:t>behaviours</w:t>
      </w:r>
      <w:proofErr w:type="spellEnd"/>
      <w:r>
        <w:t xml:space="preserve"> are more prevalent. Looking for patterns allows a parent to make more targeted choices for attention. </w:t>
      </w:r>
    </w:p>
    <w:p w14:paraId="0D198D43" w14:textId="77777777" w:rsidR="00DC181F" w:rsidRDefault="00DC181F"/>
    <w:p w14:paraId="597D575A" w14:textId="284CECED" w:rsidR="00DC181F" w:rsidRDefault="00DC181F">
      <w:r>
        <w:t xml:space="preserve">Go slow to go fast. </w:t>
      </w:r>
    </w:p>
    <w:sectPr w:rsidR="00DC181F" w:rsidSect="000960E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E8"/>
    <w:rsid w:val="000960E8"/>
    <w:rsid w:val="00377A3C"/>
    <w:rsid w:val="003E5CD8"/>
    <w:rsid w:val="006A6E27"/>
    <w:rsid w:val="008F5C38"/>
    <w:rsid w:val="00B66233"/>
    <w:rsid w:val="00C13405"/>
    <w:rsid w:val="00DC181F"/>
    <w:rsid w:val="00E9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95E9B5"/>
  <w15:chartTrackingRefBased/>
  <w15:docId w15:val="{617C5699-9AD9-FB43-8862-F7A15E67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129286">
      <w:bodyDiv w:val="1"/>
      <w:marLeft w:val="0"/>
      <w:marRight w:val="0"/>
      <w:marTop w:val="0"/>
      <w:marBottom w:val="0"/>
      <w:divBdr>
        <w:top w:val="none" w:sz="0" w:space="0" w:color="auto"/>
        <w:left w:val="none" w:sz="0" w:space="0" w:color="auto"/>
        <w:bottom w:val="none" w:sz="0" w:space="0" w:color="auto"/>
        <w:right w:val="none" w:sz="0" w:space="0" w:color="auto"/>
      </w:divBdr>
    </w:div>
    <w:div w:id="643588003">
      <w:bodyDiv w:val="1"/>
      <w:marLeft w:val="0"/>
      <w:marRight w:val="0"/>
      <w:marTop w:val="0"/>
      <w:marBottom w:val="0"/>
      <w:divBdr>
        <w:top w:val="none" w:sz="0" w:space="0" w:color="auto"/>
        <w:left w:val="none" w:sz="0" w:space="0" w:color="auto"/>
        <w:bottom w:val="none" w:sz="0" w:space="0" w:color="auto"/>
        <w:right w:val="none" w:sz="0" w:space="0" w:color="auto"/>
      </w:divBdr>
    </w:div>
    <w:div w:id="868956006">
      <w:bodyDiv w:val="1"/>
      <w:marLeft w:val="0"/>
      <w:marRight w:val="0"/>
      <w:marTop w:val="0"/>
      <w:marBottom w:val="0"/>
      <w:divBdr>
        <w:top w:val="none" w:sz="0" w:space="0" w:color="auto"/>
        <w:left w:val="none" w:sz="0" w:space="0" w:color="auto"/>
        <w:bottom w:val="none" w:sz="0" w:space="0" w:color="auto"/>
        <w:right w:val="none" w:sz="0" w:space="0" w:color="auto"/>
      </w:divBdr>
    </w:div>
    <w:div w:id="1186165673">
      <w:bodyDiv w:val="1"/>
      <w:marLeft w:val="0"/>
      <w:marRight w:val="0"/>
      <w:marTop w:val="0"/>
      <w:marBottom w:val="0"/>
      <w:divBdr>
        <w:top w:val="none" w:sz="0" w:space="0" w:color="auto"/>
        <w:left w:val="none" w:sz="0" w:space="0" w:color="auto"/>
        <w:bottom w:val="none" w:sz="0" w:space="0" w:color="auto"/>
        <w:right w:val="none" w:sz="0" w:space="0" w:color="auto"/>
      </w:divBdr>
    </w:div>
    <w:div w:id="20649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Doughty</dc:creator>
  <cp:keywords/>
  <dc:description/>
  <cp:lastModifiedBy>stanpy cat</cp:lastModifiedBy>
  <cp:revision>2</cp:revision>
  <dcterms:created xsi:type="dcterms:W3CDTF">2022-01-29T23:35:00Z</dcterms:created>
  <dcterms:modified xsi:type="dcterms:W3CDTF">2022-01-29T23:35:00Z</dcterms:modified>
</cp:coreProperties>
</file>